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>Перечень документов для прохождения освидетельствования маломерного судна, предоставляемых заявителем:</w:t>
      </w:r>
    </w:p>
    <w:p>
      <w:pPr>
        <w:pStyle w:val="Normal"/>
        <w:spacing w:before="0" w:after="0"/>
        <w:jc w:val="center"/>
        <w:rPr>
          <w:rFonts w:ascii="Tinos" w:hAnsi="Tinos"/>
          <w:b/>
          <w:b/>
          <w:sz w:val="32"/>
          <w:szCs w:val="32"/>
          <w:u w:val="single"/>
        </w:rPr>
      </w:pPr>
      <w:r>
        <w:rPr>
          <w:rFonts w:ascii="Tinos" w:hAnsi="Tinos"/>
          <w:b/>
          <w:sz w:val="32"/>
          <w:szCs w:val="32"/>
          <w:u w:val="single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«Заявление на освидетельствование МС» (можно скачать на сайте).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 (документы), подтверждающие в соответствии с законодательством РФ право собственности на маломерное судно.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Техническую документацию маломерного судна.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Технический паспорт двигателя маломерного судна или подвесного лодочного мотора с данными о заводском номере и технических характеристиках.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Свидетельство о классификации маломерного судна или сертификат соответствия (за исключением маломерных судов, на которые действие технического регламента Таможенного союза «О безопасности маломерных судов», принятого решением Совета Евразийской экономической комиссии от 15.06.2012 №33 не распространяется).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Конструкторскую и (или) построечную документацию, включая расчеты прочности, остойчивости и непотопляемости (для судов индивидуальной постройки).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Конструкторскую документацию по изменениям, внесенным в конструкцию корпуса или двигателя маломерного судна (в случае проведения модернизации).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Судовой билет, выданный до 01.03.2022</w:t>
      </w:r>
      <w:bookmarkStart w:id="0" w:name="_GoBack"/>
      <w:bookmarkEnd w:id="0"/>
      <w:r>
        <w:rPr>
          <w:rFonts w:ascii="Tinos" w:hAnsi="Tinos"/>
          <w:sz w:val="32"/>
          <w:szCs w:val="32"/>
        </w:rPr>
        <w:t xml:space="preserve"> (при наличии).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Ранее выданные акты или заключения по результатам освидетельствования маломерного судна (при наличии).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удостоверяющий личность заявителя (паспорт гражданина РФ или иной документ, удостоверяющий личность в соответствии с законодательством РФ).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left="0" w:right="0" w:hanging="0"/>
        <w:jc w:val="both"/>
        <w:rPr>
          <w:b/>
          <w:b/>
          <w:bCs/>
        </w:rPr>
      </w:pPr>
      <w:r>
        <w:rPr>
          <w:rFonts w:ascii="Tinos" w:hAnsi="Tinos"/>
          <w:b/>
          <w:bCs/>
          <w:sz w:val="32"/>
          <w:szCs w:val="32"/>
        </w:rPr>
        <w:t>ПРИМЕЧАНИЕ: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</w:rPr>
        <w:t xml:space="preserve">* </w:t>
      </w:r>
      <w:r>
        <w:rPr>
          <w:rFonts w:ascii="Tinos" w:hAnsi="Tinos"/>
          <w:sz w:val="32"/>
          <w:szCs w:val="32"/>
        </w:rPr>
        <w:t>Все документы должны быть предоставлены на русском языке (или переведены на русский язык).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</w:rPr>
        <w:t xml:space="preserve">** </w:t>
      </w:r>
      <w:r>
        <w:rPr>
          <w:rFonts w:ascii="Tinos" w:hAnsi="Tinos"/>
          <w:sz w:val="32"/>
          <w:szCs w:val="32"/>
        </w:rPr>
        <w:t xml:space="preserve">При обращении заявителя через своего представителя, необходимо предоставить документ, подтверждающий право представителя действовать от имени заявителя в соответствии с законодательством РФ. </w:t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f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64f0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199</Words>
  <Characters>1502</Characters>
  <CharactersWithSpaces>1678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2022-03-01T09:01:00Z</dcterms:created>
  <dc:creator>Registrator_1</dc:creator>
  <dc:description/>
  <dc:language>ru-RU</dc:language>
  <cp:lastModifiedBy/>
  <dcterms:modified xsi:type="dcterms:W3CDTF">2023-02-16T18:45:53Z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